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0"/>
        </w:rPr>
      </w:pPr>
    </w:p>
    <w:p>
      <w:pPr>
        <w:pStyle w:val="3"/>
        <w:spacing w:before="5"/>
        <w:rPr>
          <w:sz w:val="21"/>
        </w:rPr>
      </w:pPr>
    </w:p>
    <w:p>
      <w:pPr>
        <w:spacing w:after="0"/>
        <w:rPr>
          <w:sz w:val="21"/>
        </w:rPr>
        <w:sectPr>
          <w:pgSz w:w="11910" w:h="16840"/>
          <w:pgMar w:top="1580" w:right="1160" w:bottom="1840" w:left="1180" w:header="0" w:footer="1644" w:gutter="0"/>
        </w:sectPr>
      </w:pPr>
    </w:p>
    <w:p>
      <w:pPr>
        <w:pStyle w:val="3"/>
        <w:spacing w:before="55"/>
        <w:ind w:left="351"/>
      </w:pPr>
      <w:r>
        <w:rPr>
          <w:spacing w:val="-28"/>
        </w:rPr>
        <w:t xml:space="preserve">附件 </w:t>
      </w:r>
      <w:r>
        <w:rPr>
          <w:spacing w:val="-20"/>
        </w:rPr>
        <w:t>1</w:t>
      </w:r>
    </w:p>
    <w:p>
      <w:pPr>
        <w:pStyle w:val="3"/>
        <w:spacing w:before="11"/>
        <w:rPr>
          <w:sz w:val="43"/>
        </w:rPr>
      </w:pPr>
      <w:r>
        <w:br w:type="column"/>
      </w:r>
    </w:p>
    <w:p>
      <w:pPr>
        <w:pStyle w:val="2"/>
        <w:spacing w:line="180" w:lineRule="auto"/>
        <w:ind w:left="2184" w:right="1493" w:hanging="1981"/>
      </w:pPr>
      <w:r>
        <w:t>第七届山东省大学生科技创新大赛企业命题赛题</w:t>
      </w:r>
    </w:p>
    <w:p>
      <w:pPr>
        <w:spacing w:after="0" w:line="180" w:lineRule="auto"/>
        <w:sectPr>
          <w:type w:val="continuous"/>
          <w:pgSz w:w="11910" w:h="16840"/>
          <w:pgMar w:top="1580" w:right="1160" w:bottom="280" w:left="1180" w:header="720" w:footer="720" w:gutter="0"/>
          <w:cols w:equalWidth="0" w:num="2">
            <w:col w:w="1229" w:space="40"/>
            <w:col w:w="8301"/>
          </w:cols>
        </w:sectPr>
      </w:pPr>
    </w:p>
    <w:p>
      <w:pPr>
        <w:pStyle w:val="3"/>
        <w:spacing w:before="7"/>
        <w:rPr>
          <w:rFonts w:ascii="方正小标宋简体"/>
          <w:sz w:val="28"/>
        </w:rPr>
      </w:pPr>
    </w:p>
    <w:tbl>
      <w:tblPr>
        <w:tblStyle w:val="4"/>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8"/>
        <w:gridCol w:w="1843"/>
        <w:gridCol w:w="1881"/>
        <w:gridCol w:w="1789"/>
        <w:gridCol w:w="2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661" w:type="dxa"/>
            <w:gridSpan w:val="2"/>
          </w:tcPr>
          <w:p>
            <w:pPr>
              <w:pStyle w:val="6"/>
              <w:spacing w:before="151"/>
              <w:ind w:left="369"/>
              <w:rPr>
                <w:sz w:val="24"/>
              </w:rPr>
            </w:pPr>
            <w:r>
              <w:rPr>
                <w:sz w:val="24"/>
              </w:rPr>
              <w:t>是否提供经费支持</w:t>
            </w:r>
          </w:p>
        </w:tc>
        <w:tc>
          <w:tcPr>
            <w:tcW w:w="1881" w:type="dxa"/>
          </w:tcPr>
          <w:p>
            <w:pPr>
              <w:pStyle w:val="6"/>
              <w:tabs>
                <w:tab w:val="left" w:pos="1068"/>
              </w:tabs>
              <w:spacing w:before="151"/>
              <w:ind w:left="228"/>
              <w:rPr>
                <w:sz w:val="24"/>
              </w:rPr>
            </w:pPr>
            <w:r>
              <w:rPr>
                <w:sz w:val="24"/>
              </w:rPr>
              <w:t>√是</w:t>
            </w:r>
            <w:r>
              <w:rPr>
                <w:sz w:val="24"/>
              </w:rPr>
              <w:tab/>
            </w:r>
            <w:r>
              <w:rPr>
                <w:sz w:val="24"/>
              </w:rPr>
              <w:t>□否</w:t>
            </w:r>
          </w:p>
        </w:tc>
        <w:tc>
          <w:tcPr>
            <w:tcW w:w="1789" w:type="dxa"/>
          </w:tcPr>
          <w:p>
            <w:pPr>
              <w:pStyle w:val="6"/>
              <w:spacing w:before="151"/>
              <w:ind w:left="109"/>
              <w:rPr>
                <w:sz w:val="24"/>
              </w:rPr>
            </w:pPr>
            <w:r>
              <w:rPr>
                <w:sz w:val="24"/>
              </w:rPr>
              <w:t>经费支持金额</w:t>
            </w:r>
          </w:p>
        </w:tc>
        <w:tc>
          <w:tcPr>
            <w:tcW w:w="2990" w:type="dxa"/>
          </w:tcPr>
          <w:p>
            <w:pPr>
              <w:pStyle w:val="6"/>
              <w:spacing w:before="151"/>
              <w:ind w:left="1431"/>
              <w:rPr>
                <w:sz w:val="24"/>
              </w:rPr>
            </w:pPr>
            <w:r>
              <w:rPr>
                <w:sz w:val="24"/>
              </w:rPr>
              <w:t>5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18" w:type="dxa"/>
            <w:vMerge w:val="restart"/>
          </w:tcPr>
          <w:p>
            <w:pPr>
              <w:pStyle w:val="6"/>
              <w:rPr>
                <w:rFonts w:ascii="方正小标宋简体"/>
                <w:sz w:val="24"/>
              </w:rPr>
            </w:pPr>
          </w:p>
          <w:p>
            <w:pPr>
              <w:pStyle w:val="6"/>
              <w:rPr>
                <w:rFonts w:ascii="方正小标宋简体"/>
                <w:sz w:val="24"/>
              </w:rPr>
            </w:pPr>
          </w:p>
          <w:p>
            <w:pPr>
              <w:pStyle w:val="6"/>
              <w:rPr>
                <w:rFonts w:ascii="方正小标宋简体"/>
                <w:sz w:val="24"/>
              </w:rPr>
            </w:pPr>
          </w:p>
          <w:p>
            <w:pPr>
              <w:pStyle w:val="6"/>
              <w:rPr>
                <w:rFonts w:ascii="方正小标宋简体"/>
                <w:sz w:val="24"/>
              </w:rPr>
            </w:pPr>
          </w:p>
          <w:p>
            <w:pPr>
              <w:pStyle w:val="6"/>
              <w:rPr>
                <w:rFonts w:ascii="方正小标宋简体"/>
                <w:sz w:val="24"/>
              </w:rPr>
            </w:pPr>
          </w:p>
          <w:p>
            <w:pPr>
              <w:pStyle w:val="6"/>
              <w:rPr>
                <w:rFonts w:ascii="方正小标宋简体"/>
                <w:sz w:val="24"/>
              </w:rPr>
            </w:pPr>
          </w:p>
          <w:p>
            <w:pPr>
              <w:pStyle w:val="6"/>
              <w:rPr>
                <w:rFonts w:ascii="方正小标宋简体"/>
                <w:sz w:val="24"/>
              </w:rPr>
            </w:pPr>
          </w:p>
          <w:p>
            <w:pPr>
              <w:pStyle w:val="6"/>
              <w:rPr>
                <w:rFonts w:ascii="方正小标宋简体"/>
                <w:sz w:val="24"/>
              </w:rPr>
            </w:pPr>
          </w:p>
          <w:p>
            <w:pPr>
              <w:pStyle w:val="6"/>
              <w:spacing w:before="11"/>
              <w:rPr>
                <w:rFonts w:ascii="方正小标宋简体"/>
                <w:sz w:val="34"/>
              </w:rPr>
            </w:pPr>
          </w:p>
          <w:p>
            <w:pPr>
              <w:pStyle w:val="6"/>
              <w:spacing w:line="280" w:lineRule="auto"/>
              <w:ind w:left="287" w:right="278"/>
              <w:jc w:val="both"/>
              <w:rPr>
                <w:sz w:val="24"/>
              </w:rPr>
            </w:pPr>
            <w:r>
              <w:rPr>
                <w:sz w:val="24"/>
              </w:rPr>
              <w:t>赛题信息</w:t>
            </w:r>
          </w:p>
        </w:tc>
        <w:tc>
          <w:tcPr>
            <w:tcW w:w="1843" w:type="dxa"/>
          </w:tcPr>
          <w:p>
            <w:pPr>
              <w:pStyle w:val="6"/>
              <w:spacing w:before="151"/>
              <w:ind w:left="181" w:right="171"/>
              <w:jc w:val="center"/>
              <w:rPr>
                <w:sz w:val="24"/>
              </w:rPr>
            </w:pPr>
            <w:r>
              <w:rPr>
                <w:sz w:val="24"/>
              </w:rPr>
              <w:t>赛题名称</w:t>
            </w:r>
          </w:p>
        </w:tc>
        <w:tc>
          <w:tcPr>
            <w:tcW w:w="6660" w:type="dxa"/>
            <w:gridSpan w:val="3"/>
          </w:tcPr>
          <w:p>
            <w:pPr>
              <w:pStyle w:val="6"/>
              <w:spacing w:before="151"/>
              <w:ind w:left="108"/>
              <w:rPr>
                <w:sz w:val="24"/>
              </w:rPr>
            </w:pPr>
            <w:r>
              <w:rPr>
                <w:sz w:val="24"/>
              </w:rPr>
              <w:t>基于小规模发酵培养的精密流加系统的研究开发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818" w:type="dxa"/>
            <w:vMerge w:val="continue"/>
            <w:tcBorders>
              <w:top w:val="nil"/>
            </w:tcBorders>
          </w:tcPr>
          <w:p>
            <w:pPr>
              <w:rPr>
                <w:sz w:val="2"/>
                <w:szCs w:val="2"/>
              </w:rPr>
            </w:pPr>
          </w:p>
        </w:tc>
        <w:tc>
          <w:tcPr>
            <w:tcW w:w="1843" w:type="dxa"/>
          </w:tcPr>
          <w:p>
            <w:pPr>
              <w:pStyle w:val="6"/>
              <w:spacing w:before="16"/>
              <w:rPr>
                <w:rFonts w:ascii="方正小标宋简体"/>
                <w:sz w:val="12"/>
              </w:rPr>
            </w:pPr>
          </w:p>
          <w:p>
            <w:pPr>
              <w:pStyle w:val="6"/>
              <w:ind w:left="201"/>
              <w:rPr>
                <w:sz w:val="24"/>
              </w:rPr>
            </w:pPr>
            <w:r>
              <w:rPr>
                <w:sz w:val="24"/>
              </w:rPr>
              <w:t>所属产业名称</w:t>
            </w:r>
          </w:p>
          <w:p>
            <w:pPr>
              <w:pStyle w:val="6"/>
              <w:spacing w:before="52"/>
              <w:ind w:left="201"/>
              <w:rPr>
                <w:sz w:val="24"/>
              </w:rPr>
            </w:pPr>
            <w:r>
              <w:rPr>
                <w:sz w:val="24"/>
              </w:rPr>
              <w:t>（勾选一项）</w:t>
            </w:r>
          </w:p>
        </w:tc>
        <w:tc>
          <w:tcPr>
            <w:tcW w:w="6660" w:type="dxa"/>
            <w:gridSpan w:val="3"/>
          </w:tcPr>
          <w:p>
            <w:pPr>
              <w:pStyle w:val="6"/>
              <w:spacing w:before="48"/>
              <w:ind w:left="108"/>
              <w:rPr>
                <w:sz w:val="24"/>
              </w:rPr>
            </w:pPr>
            <w:r>
              <w:rPr>
                <w:sz w:val="24"/>
              </w:rPr>
              <w:t>□新一代信息技术 □高端装备 □新能源新材料 □现代海洋</w:t>
            </w:r>
          </w:p>
          <w:p>
            <w:pPr>
              <w:pStyle w:val="6"/>
              <w:tabs>
                <w:tab w:val="left" w:pos="2149"/>
              </w:tabs>
              <w:spacing w:before="53"/>
              <w:ind w:left="108"/>
              <w:rPr>
                <w:sz w:val="24"/>
              </w:rPr>
            </w:pPr>
            <w:r>
              <w:rPr>
                <w:sz w:val="24"/>
              </w:rPr>
              <w:t>√医养健康</w:t>
            </w:r>
            <w:r>
              <w:rPr>
                <w:sz w:val="24"/>
              </w:rPr>
              <w:tab/>
            </w:r>
            <w:r>
              <w:rPr>
                <w:sz w:val="24"/>
              </w:rPr>
              <w:t>□高端化工 □现代高效农业 □文化创意</w:t>
            </w:r>
          </w:p>
          <w:p>
            <w:pPr>
              <w:pStyle w:val="6"/>
              <w:tabs>
                <w:tab w:val="left" w:pos="2149"/>
                <w:tab w:val="left" w:pos="5269"/>
              </w:tabs>
              <w:spacing w:before="52" w:line="292" w:lineRule="exact"/>
              <w:ind w:left="108"/>
              <w:rPr>
                <w:sz w:val="24"/>
              </w:rPr>
            </w:pPr>
            <w:r>
              <w:rPr>
                <w:sz w:val="24"/>
              </w:rPr>
              <w:t>□精品旅游</w:t>
            </w:r>
            <w:r>
              <w:rPr>
                <w:sz w:val="24"/>
              </w:rPr>
              <w:tab/>
            </w:r>
            <w:r>
              <w:rPr>
                <w:sz w:val="24"/>
              </w:rPr>
              <w:t>□现代金融服务</w:t>
            </w:r>
            <w:r>
              <w:rPr>
                <w:sz w:val="24"/>
              </w:rPr>
              <w:tab/>
            </w:r>
            <w:r>
              <w:rPr>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818" w:type="dxa"/>
            <w:vMerge w:val="continue"/>
            <w:tcBorders>
              <w:top w:val="nil"/>
            </w:tcBorders>
          </w:tcPr>
          <w:p>
            <w:pPr>
              <w:rPr>
                <w:sz w:val="2"/>
                <w:szCs w:val="2"/>
              </w:rPr>
            </w:pPr>
          </w:p>
        </w:tc>
        <w:tc>
          <w:tcPr>
            <w:tcW w:w="1843" w:type="dxa"/>
          </w:tcPr>
          <w:p>
            <w:pPr>
              <w:pStyle w:val="6"/>
              <w:spacing w:before="10"/>
              <w:rPr>
                <w:rFonts w:ascii="方正小标宋简体"/>
                <w:sz w:val="12"/>
              </w:rPr>
            </w:pPr>
          </w:p>
          <w:p>
            <w:pPr>
              <w:pStyle w:val="6"/>
              <w:ind w:left="181" w:right="171"/>
              <w:jc w:val="center"/>
              <w:rPr>
                <w:sz w:val="24"/>
              </w:rPr>
            </w:pPr>
            <w:r>
              <w:rPr>
                <w:sz w:val="24"/>
              </w:rPr>
              <w:t>所属重点领域</w:t>
            </w:r>
          </w:p>
        </w:tc>
        <w:tc>
          <w:tcPr>
            <w:tcW w:w="6660" w:type="dxa"/>
            <w:gridSpan w:val="3"/>
          </w:tcPr>
          <w:p>
            <w:pPr>
              <w:pStyle w:val="6"/>
              <w:spacing w:before="10"/>
              <w:rPr>
                <w:rFonts w:ascii="方正小标宋简体"/>
                <w:sz w:val="12"/>
              </w:rPr>
            </w:pPr>
          </w:p>
          <w:p>
            <w:pPr>
              <w:pStyle w:val="6"/>
              <w:ind w:left="108"/>
              <w:rPr>
                <w:sz w:val="24"/>
              </w:rPr>
            </w:pPr>
            <w:r>
              <w:rPr>
                <w:sz w:val="24"/>
              </w:rPr>
              <w:t>生物医药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4" w:hRule="atLeast"/>
        </w:trPr>
        <w:tc>
          <w:tcPr>
            <w:tcW w:w="818" w:type="dxa"/>
            <w:vMerge w:val="continue"/>
            <w:tcBorders>
              <w:top w:val="nil"/>
            </w:tcBorders>
          </w:tcPr>
          <w:p>
            <w:pPr>
              <w:rPr>
                <w:sz w:val="2"/>
                <w:szCs w:val="2"/>
              </w:rPr>
            </w:pPr>
          </w:p>
        </w:tc>
        <w:tc>
          <w:tcPr>
            <w:tcW w:w="1843" w:type="dxa"/>
          </w:tcPr>
          <w:p>
            <w:pPr>
              <w:pStyle w:val="6"/>
              <w:rPr>
                <w:rFonts w:ascii="方正小标宋简体"/>
                <w:sz w:val="24"/>
              </w:rPr>
            </w:pPr>
          </w:p>
          <w:p>
            <w:pPr>
              <w:pStyle w:val="6"/>
              <w:rPr>
                <w:rFonts w:ascii="方正小标宋简体"/>
                <w:sz w:val="24"/>
              </w:rPr>
            </w:pPr>
          </w:p>
          <w:p>
            <w:pPr>
              <w:pStyle w:val="6"/>
              <w:rPr>
                <w:rFonts w:ascii="方正小标宋简体"/>
                <w:sz w:val="24"/>
              </w:rPr>
            </w:pPr>
          </w:p>
          <w:p>
            <w:pPr>
              <w:pStyle w:val="6"/>
              <w:rPr>
                <w:rFonts w:ascii="方正小标宋简体"/>
                <w:sz w:val="24"/>
              </w:rPr>
            </w:pPr>
          </w:p>
          <w:p>
            <w:pPr>
              <w:pStyle w:val="6"/>
              <w:spacing w:before="6"/>
              <w:rPr>
                <w:rFonts w:ascii="方正小标宋简体"/>
                <w:sz w:val="15"/>
              </w:rPr>
            </w:pPr>
          </w:p>
          <w:p>
            <w:pPr>
              <w:pStyle w:val="6"/>
              <w:ind w:left="181" w:right="171"/>
              <w:jc w:val="center"/>
              <w:rPr>
                <w:sz w:val="24"/>
              </w:rPr>
            </w:pPr>
            <w:r>
              <w:rPr>
                <w:sz w:val="24"/>
              </w:rPr>
              <w:t>赛题说明</w:t>
            </w:r>
          </w:p>
        </w:tc>
        <w:tc>
          <w:tcPr>
            <w:tcW w:w="6660" w:type="dxa"/>
            <w:gridSpan w:val="3"/>
          </w:tcPr>
          <w:p>
            <w:pPr>
              <w:pStyle w:val="6"/>
              <w:spacing w:before="13"/>
              <w:rPr>
                <w:rFonts w:ascii="方正小标宋简体"/>
                <w:sz w:val="19"/>
              </w:rPr>
            </w:pPr>
          </w:p>
          <w:p>
            <w:pPr>
              <w:pStyle w:val="6"/>
              <w:spacing w:before="1" w:line="280" w:lineRule="auto"/>
              <w:ind w:left="108" w:right="92" w:firstLine="480"/>
              <w:jc w:val="both"/>
              <w:rPr>
                <w:sz w:val="24"/>
              </w:rPr>
            </w:pPr>
            <w:r>
              <w:rPr>
                <w:spacing w:val="-3"/>
                <w:sz w:val="24"/>
              </w:rPr>
              <w:t>一些微生物发酵项目如利普斯他汀和达托霉素，在发酵过</w:t>
            </w:r>
            <w:r>
              <w:rPr>
                <w:spacing w:val="-5"/>
                <w:sz w:val="24"/>
              </w:rPr>
              <w:t>程中需补加前体物质，这些前体物质一般对微生物细胞有毒性且黏度较大，小体积发酵培养很难进行微量精确流加，难以实</w:t>
            </w:r>
            <w:r>
              <w:rPr>
                <w:sz w:val="24"/>
              </w:rPr>
              <w:t>现规模化的高通量菌种选育和发酵工艺优化。</w:t>
            </w:r>
          </w:p>
          <w:p>
            <w:pPr>
              <w:pStyle w:val="6"/>
              <w:spacing w:before="1" w:line="280" w:lineRule="auto"/>
              <w:ind w:left="108" w:right="91" w:firstLine="480"/>
              <w:jc w:val="both"/>
              <w:rPr>
                <w:sz w:val="24"/>
              </w:rPr>
            </w:pPr>
            <w:r>
              <w:rPr>
                <w:spacing w:val="-3"/>
                <w:sz w:val="24"/>
              </w:rPr>
              <w:t>虽然已有商业化的补料摇床和小型发酵系统，但均操作繁</w:t>
            </w:r>
            <w:r>
              <w:rPr>
                <w:spacing w:val="-7"/>
                <w:sz w:val="24"/>
              </w:rPr>
              <w:t>琐、实际使用效果不理想，很难实现大规模菌种选育和发酵工</w:t>
            </w:r>
            <w:r>
              <w:rPr>
                <w:sz w:val="24"/>
              </w:rPr>
              <w:t>艺优化。</w:t>
            </w:r>
          </w:p>
          <w:p>
            <w:pPr>
              <w:pStyle w:val="6"/>
              <w:spacing w:before="1" w:line="280" w:lineRule="auto"/>
              <w:ind w:left="108" w:right="178" w:firstLine="480"/>
              <w:rPr>
                <w:sz w:val="24"/>
              </w:rPr>
            </w:pPr>
            <w:r>
              <w:rPr>
                <w:sz w:val="24"/>
              </w:rPr>
              <w:t>期待建立/开发适用于具有细胞毒性物质流加发酵项目的高通量菌种选育和发酵工艺优化通用技术方案或仪器设备系统。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9" w:hRule="atLeast"/>
        </w:trPr>
        <w:tc>
          <w:tcPr>
            <w:tcW w:w="818" w:type="dxa"/>
            <w:vMerge w:val="continue"/>
            <w:tcBorders>
              <w:top w:val="nil"/>
            </w:tcBorders>
          </w:tcPr>
          <w:p>
            <w:pPr>
              <w:rPr>
                <w:sz w:val="2"/>
                <w:szCs w:val="2"/>
              </w:rPr>
            </w:pPr>
          </w:p>
        </w:tc>
        <w:tc>
          <w:tcPr>
            <w:tcW w:w="1843" w:type="dxa"/>
          </w:tcPr>
          <w:p>
            <w:pPr>
              <w:pStyle w:val="6"/>
              <w:rPr>
                <w:rFonts w:ascii="方正小标宋简体"/>
                <w:sz w:val="24"/>
              </w:rPr>
            </w:pPr>
          </w:p>
          <w:p>
            <w:pPr>
              <w:pStyle w:val="6"/>
              <w:rPr>
                <w:rFonts w:ascii="方正小标宋简体"/>
                <w:sz w:val="24"/>
              </w:rPr>
            </w:pPr>
          </w:p>
          <w:p>
            <w:pPr>
              <w:pStyle w:val="6"/>
              <w:spacing w:before="13"/>
              <w:rPr>
                <w:rFonts w:ascii="方正小标宋简体"/>
                <w:sz w:val="22"/>
              </w:rPr>
            </w:pPr>
          </w:p>
          <w:p>
            <w:pPr>
              <w:pStyle w:val="6"/>
              <w:spacing w:before="1"/>
              <w:ind w:left="181" w:right="171"/>
              <w:jc w:val="center"/>
              <w:rPr>
                <w:sz w:val="24"/>
              </w:rPr>
            </w:pPr>
            <w:r>
              <w:rPr>
                <w:sz w:val="24"/>
              </w:rPr>
              <w:t>用户期望</w:t>
            </w:r>
          </w:p>
        </w:tc>
        <w:tc>
          <w:tcPr>
            <w:tcW w:w="6660" w:type="dxa"/>
            <w:gridSpan w:val="3"/>
          </w:tcPr>
          <w:p>
            <w:pPr>
              <w:pStyle w:val="6"/>
              <w:rPr>
                <w:rFonts w:ascii="方正小标宋简体"/>
                <w:sz w:val="24"/>
              </w:rPr>
            </w:pPr>
          </w:p>
          <w:p>
            <w:pPr>
              <w:pStyle w:val="6"/>
              <w:spacing w:before="4"/>
              <w:rPr>
                <w:rFonts w:ascii="方正小标宋简体"/>
                <w:sz w:val="16"/>
              </w:rPr>
            </w:pPr>
          </w:p>
          <w:p>
            <w:pPr>
              <w:pStyle w:val="6"/>
              <w:numPr>
                <w:ilvl w:val="0"/>
                <w:numId w:val="1"/>
              </w:numPr>
              <w:tabs>
                <w:tab w:val="left" w:pos="350"/>
              </w:tabs>
              <w:spacing w:before="0" w:after="0" w:line="240" w:lineRule="auto"/>
              <w:ind w:left="349" w:right="0" w:hanging="242"/>
              <w:jc w:val="left"/>
              <w:rPr>
                <w:sz w:val="24"/>
              </w:rPr>
            </w:pPr>
            <w:r>
              <w:rPr>
                <w:sz w:val="24"/>
              </w:rPr>
              <w:t>能够实现小体积细胞培养的细胞毒性前体精确流加；</w:t>
            </w:r>
          </w:p>
          <w:p>
            <w:pPr>
              <w:pStyle w:val="6"/>
              <w:numPr>
                <w:ilvl w:val="0"/>
                <w:numId w:val="1"/>
              </w:numPr>
              <w:tabs>
                <w:tab w:val="left" w:pos="350"/>
              </w:tabs>
              <w:spacing w:before="53" w:after="0" w:line="240" w:lineRule="auto"/>
              <w:ind w:left="349" w:right="0" w:hanging="242"/>
              <w:jc w:val="left"/>
              <w:rPr>
                <w:sz w:val="24"/>
              </w:rPr>
            </w:pPr>
            <w:r>
              <w:rPr>
                <w:sz w:val="24"/>
              </w:rPr>
              <w:t>具有高通量或规模效应，能够进行大批量筛选优化；</w:t>
            </w:r>
          </w:p>
          <w:p>
            <w:pPr>
              <w:pStyle w:val="6"/>
              <w:numPr>
                <w:ilvl w:val="0"/>
                <w:numId w:val="1"/>
              </w:numPr>
              <w:tabs>
                <w:tab w:val="left" w:pos="350"/>
              </w:tabs>
              <w:spacing w:before="53" w:after="0" w:line="240" w:lineRule="auto"/>
              <w:ind w:left="349" w:right="0" w:hanging="242"/>
              <w:jc w:val="left"/>
              <w:rPr>
                <w:sz w:val="24"/>
              </w:rPr>
            </w:pPr>
            <w:r>
              <w:rPr>
                <w:sz w:val="24"/>
              </w:rPr>
              <w:t>技术方案或仪器设备系统通用性及实用性强；</w:t>
            </w:r>
          </w:p>
          <w:p>
            <w:pPr>
              <w:pStyle w:val="6"/>
              <w:numPr>
                <w:ilvl w:val="0"/>
                <w:numId w:val="1"/>
              </w:numPr>
              <w:tabs>
                <w:tab w:val="left" w:pos="350"/>
              </w:tabs>
              <w:spacing w:before="53" w:after="0" w:line="240" w:lineRule="auto"/>
              <w:ind w:left="349" w:right="0" w:hanging="242"/>
              <w:jc w:val="left"/>
              <w:rPr>
                <w:sz w:val="24"/>
              </w:rPr>
            </w:pPr>
            <w:r>
              <w:rPr>
                <w:sz w:val="24"/>
              </w:rPr>
              <w:t>操作简便，仪器设备购置及运行成本具有优势。</w:t>
            </w:r>
          </w:p>
        </w:tc>
      </w:tr>
    </w:tbl>
    <w:p>
      <w:pPr>
        <w:spacing w:after="0" w:line="240" w:lineRule="auto"/>
        <w:jc w:val="left"/>
        <w:rPr>
          <w:sz w:val="24"/>
        </w:rPr>
        <w:sectPr>
          <w:type w:val="continuous"/>
          <w:pgSz w:w="11910" w:h="16840"/>
          <w:pgMar w:top="1580" w:right="1160" w:bottom="280" w:left="1180" w:header="720" w:footer="720" w:gutter="0"/>
        </w:sectPr>
      </w:pPr>
    </w:p>
    <w:p>
      <w:pPr>
        <w:pStyle w:val="3"/>
        <w:rPr>
          <w:rFonts w:ascii="Times New Roman"/>
          <w:sz w:val="20"/>
        </w:rPr>
      </w:pPr>
    </w:p>
    <w:p>
      <w:pPr>
        <w:pStyle w:val="3"/>
        <w:rPr>
          <w:rFonts w:ascii="Times New Roman"/>
          <w:sz w:val="20"/>
        </w:rPr>
      </w:pPr>
    </w:p>
    <w:p>
      <w:pPr>
        <w:pStyle w:val="3"/>
        <w:spacing w:before="3" w:after="1"/>
        <w:rPr>
          <w:rFonts w:ascii="Times New Roman"/>
          <w:sz w:val="10"/>
        </w:rPr>
      </w:pPr>
    </w:p>
    <w:tbl>
      <w:tblPr>
        <w:tblStyle w:val="4"/>
        <w:tblW w:w="0" w:type="auto"/>
        <w:tblInd w:w="2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5"/>
        <w:gridCol w:w="1844"/>
        <w:gridCol w:w="47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trPr>
        <w:tc>
          <w:tcPr>
            <w:tcW w:w="2125" w:type="dxa"/>
            <w:vMerge w:val="restart"/>
          </w:tcPr>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rPr>
                <w:rFonts w:ascii="Times New Roman"/>
                <w:sz w:val="24"/>
              </w:rPr>
            </w:pPr>
          </w:p>
          <w:p>
            <w:pPr>
              <w:pStyle w:val="6"/>
              <w:spacing w:before="178" w:line="242" w:lineRule="auto"/>
              <w:ind w:left="940" w:right="932"/>
              <w:jc w:val="both"/>
              <w:rPr>
                <w:sz w:val="24"/>
              </w:rPr>
            </w:pPr>
            <w:r>
              <w:rPr>
                <w:sz w:val="24"/>
              </w:rPr>
              <w:t>解答说明</w:t>
            </w:r>
          </w:p>
        </w:tc>
        <w:tc>
          <w:tcPr>
            <w:tcW w:w="1844" w:type="dxa"/>
            <w:tcBorders>
              <w:bottom w:val="nil"/>
            </w:tcBorders>
          </w:tcPr>
          <w:p>
            <w:pPr>
              <w:pStyle w:val="6"/>
              <w:rPr>
                <w:rFonts w:ascii="Times New Roman"/>
                <w:sz w:val="24"/>
              </w:rPr>
            </w:pPr>
          </w:p>
        </w:tc>
        <w:tc>
          <w:tcPr>
            <w:tcW w:w="4790" w:type="dxa"/>
            <w:tcBorders>
              <w:bottom w:val="nil"/>
            </w:tcBorders>
          </w:tcPr>
          <w:p>
            <w:pPr>
              <w:pStyle w:val="6"/>
              <w:rPr>
                <w:rFonts w:ascii="Times New Roman"/>
                <w:sz w:val="24"/>
              </w:rPr>
            </w:pPr>
          </w:p>
          <w:p>
            <w:pPr>
              <w:pStyle w:val="6"/>
              <w:rPr>
                <w:rFonts w:ascii="Times New Roman"/>
                <w:sz w:val="24"/>
              </w:rPr>
            </w:pPr>
          </w:p>
          <w:p>
            <w:pPr>
              <w:pStyle w:val="6"/>
              <w:spacing w:before="7"/>
              <w:rPr>
                <w:rFonts w:ascii="Times New Roman"/>
                <w:sz w:val="25"/>
              </w:rPr>
            </w:pPr>
          </w:p>
          <w:p>
            <w:pPr>
              <w:pStyle w:val="6"/>
              <w:ind w:left="106"/>
              <w:rPr>
                <w:sz w:val="24"/>
              </w:rPr>
            </w:pPr>
            <w:r>
              <w:rPr>
                <w:sz w:val="24"/>
              </w:rPr>
              <w:t>1.明确的问题解决技术思路，具有科学性和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125" w:type="dxa"/>
            <w:vMerge w:val="continue"/>
            <w:tcBorders>
              <w:top w:val="nil"/>
            </w:tcBorders>
          </w:tcPr>
          <w:p>
            <w:pPr>
              <w:rPr>
                <w:sz w:val="2"/>
                <w:szCs w:val="2"/>
              </w:rPr>
            </w:pPr>
          </w:p>
        </w:tc>
        <w:tc>
          <w:tcPr>
            <w:tcW w:w="1844" w:type="dxa"/>
            <w:tcBorders>
              <w:top w:val="nil"/>
              <w:bottom w:val="nil"/>
            </w:tcBorders>
          </w:tcPr>
          <w:p>
            <w:pPr>
              <w:pStyle w:val="6"/>
              <w:rPr>
                <w:rFonts w:ascii="Times New Roman"/>
                <w:sz w:val="24"/>
              </w:rPr>
            </w:pPr>
          </w:p>
        </w:tc>
        <w:tc>
          <w:tcPr>
            <w:tcW w:w="4790" w:type="dxa"/>
            <w:tcBorders>
              <w:top w:val="nil"/>
              <w:bottom w:val="nil"/>
            </w:tcBorders>
          </w:tcPr>
          <w:p>
            <w:pPr>
              <w:pStyle w:val="6"/>
              <w:spacing w:before="21"/>
              <w:ind w:left="106"/>
              <w:rPr>
                <w:sz w:val="24"/>
              </w:rPr>
            </w:pPr>
            <w:r>
              <w:rPr>
                <w:sz w:val="24"/>
              </w:rPr>
              <w:t>创新性；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2125" w:type="dxa"/>
            <w:vMerge w:val="continue"/>
            <w:tcBorders>
              <w:top w:val="nil"/>
            </w:tcBorders>
          </w:tcPr>
          <w:p>
            <w:pPr>
              <w:rPr>
                <w:sz w:val="2"/>
                <w:szCs w:val="2"/>
              </w:rPr>
            </w:pPr>
          </w:p>
        </w:tc>
        <w:tc>
          <w:tcPr>
            <w:tcW w:w="1844" w:type="dxa"/>
            <w:tcBorders>
              <w:top w:val="nil"/>
              <w:bottom w:val="nil"/>
            </w:tcBorders>
          </w:tcPr>
          <w:p>
            <w:pPr>
              <w:pStyle w:val="6"/>
              <w:rPr>
                <w:rFonts w:ascii="Times New Roman"/>
                <w:sz w:val="24"/>
              </w:rPr>
            </w:pPr>
          </w:p>
        </w:tc>
        <w:tc>
          <w:tcPr>
            <w:tcW w:w="4790" w:type="dxa"/>
            <w:tcBorders>
              <w:top w:val="nil"/>
              <w:bottom w:val="nil"/>
            </w:tcBorders>
          </w:tcPr>
          <w:p>
            <w:pPr>
              <w:pStyle w:val="6"/>
              <w:spacing w:before="21" w:line="297" w:lineRule="exact"/>
              <w:ind w:left="106"/>
              <w:rPr>
                <w:sz w:val="24"/>
              </w:rPr>
            </w:pPr>
            <w:r>
              <w:rPr>
                <w:sz w:val="24"/>
              </w:rPr>
              <w:t>2.以具有细胞毒性物质流加的某发酵项目为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125" w:type="dxa"/>
            <w:vMerge w:val="continue"/>
            <w:tcBorders>
              <w:top w:val="nil"/>
            </w:tcBorders>
          </w:tcPr>
          <w:p>
            <w:pPr>
              <w:rPr>
                <w:sz w:val="2"/>
                <w:szCs w:val="2"/>
              </w:rPr>
            </w:pPr>
          </w:p>
        </w:tc>
        <w:tc>
          <w:tcPr>
            <w:tcW w:w="1844" w:type="dxa"/>
            <w:tcBorders>
              <w:top w:val="nil"/>
              <w:bottom w:val="nil"/>
            </w:tcBorders>
          </w:tcPr>
          <w:p>
            <w:pPr>
              <w:pStyle w:val="6"/>
              <w:spacing w:before="9"/>
              <w:ind w:left="440"/>
              <w:rPr>
                <w:sz w:val="24"/>
              </w:rPr>
            </w:pPr>
            <w:r>
              <w:rPr>
                <w:sz w:val="24"/>
              </w:rPr>
              <w:t>任务要求</w:t>
            </w:r>
          </w:p>
        </w:tc>
        <w:tc>
          <w:tcPr>
            <w:tcW w:w="4790" w:type="dxa"/>
            <w:tcBorders>
              <w:top w:val="nil"/>
              <w:bottom w:val="nil"/>
            </w:tcBorders>
          </w:tcPr>
          <w:p>
            <w:pPr>
              <w:pStyle w:val="6"/>
              <w:spacing w:before="33"/>
              <w:ind w:left="106"/>
              <w:rPr>
                <w:sz w:val="24"/>
              </w:rPr>
            </w:pPr>
            <w:r>
              <w:rPr>
                <w:sz w:val="24"/>
              </w:rPr>
              <w:t>例，将该技术进行应用，并取得明显技术效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125" w:type="dxa"/>
            <w:vMerge w:val="continue"/>
            <w:tcBorders>
              <w:top w:val="nil"/>
            </w:tcBorders>
          </w:tcPr>
          <w:p>
            <w:pPr>
              <w:rPr>
                <w:sz w:val="2"/>
                <w:szCs w:val="2"/>
              </w:rPr>
            </w:pPr>
          </w:p>
        </w:tc>
        <w:tc>
          <w:tcPr>
            <w:tcW w:w="1844" w:type="dxa"/>
            <w:tcBorders>
              <w:top w:val="nil"/>
              <w:bottom w:val="nil"/>
            </w:tcBorders>
          </w:tcPr>
          <w:p>
            <w:pPr>
              <w:pStyle w:val="6"/>
              <w:rPr>
                <w:rFonts w:ascii="Times New Roman"/>
                <w:sz w:val="24"/>
              </w:rPr>
            </w:pPr>
          </w:p>
        </w:tc>
        <w:tc>
          <w:tcPr>
            <w:tcW w:w="4790" w:type="dxa"/>
            <w:tcBorders>
              <w:top w:val="nil"/>
              <w:bottom w:val="nil"/>
            </w:tcBorders>
          </w:tcPr>
          <w:p>
            <w:pPr>
              <w:pStyle w:val="6"/>
              <w:spacing w:before="21"/>
              <w:ind w:left="106"/>
              <w:rPr>
                <w:sz w:val="24"/>
              </w:rPr>
            </w:pPr>
            <w:r>
              <w:rPr>
                <w:sz w:val="24"/>
              </w:rPr>
              <w:t>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125" w:type="dxa"/>
            <w:vMerge w:val="continue"/>
            <w:tcBorders>
              <w:top w:val="nil"/>
            </w:tcBorders>
          </w:tcPr>
          <w:p>
            <w:pPr>
              <w:rPr>
                <w:sz w:val="2"/>
                <w:szCs w:val="2"/>
              </w:rPr>
            </w:pPr>
          </w:p>
        </w:tc>
        <w:tc>
          <w:tcPr>
            <w:tcW w:w="1844" w:type="dxa"/>
            <w:tcBorders>
              <w:top w:val="nil"/>
              <w:bottom w:val="nil"/>
            </w:tcBorders>
          </w:tcPr>
          <w:p>
            <w:pPr>
              <w:pStyle w:val="6"/>
              <w:rPr>
                <w:rFonts w:ascii="Times New Roman"/>
                <w:sz w:val="24"/>
              </w:rPr>
            </w:pPr>
          </w:p>
        </w:tc>
        <w:tc>
          <w:tcPr>
            <w:tcW w:w="4790" w:type="dxa"/>
            <w:tcBorders>
              <w:top w:val="nil"/>
              <w:bottom w:val="nil"/>
            </w:tcBorders>
          </w:tcPr>
          <w:p>
            <w:pPr>
              <w:pStyle w:val="6"/>
              <w:spacing w:before="21"/>
              <w:ind w:left="106"/>
              <w:rPr>
                <w:sz w:val="24"/>
              </w:rPr>
            </w:pPr>
            <w:r>
              <w:rPr>
                <w:sz w:val="24"/>
              </w:rPr>
              <w:t>3.以此技术和应用实例，与国内外比较，具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2125" w:type="dxa"/>
            <w:vMerge w:val="continue"/>
            <w:tcBorders>
              <w:top w:val="nil"/>
            </w:tcBorders>
          </w:tcPr>
          <w:p>
            <w:pPr>
              <w:rPr>
                <w:sz w:val="2"/>
                <w:szCs w:val="2"/>
              </w:rPr>
            </w:pPr>
          </w:p>
        </w:tc>
        <w:tc>
          <w:tcPr>
            <w:tcW w:w="1844" w:type="dxa"/>
            <w:tcBorders>
              <w:top w:val="nil"/>
            </w:tcBorders>
          </w:tcPr>
          <w:p>
            <w:pPr>
              <w:pStyle w:val="6"/>
              <w:rPr>
                <w:rFonts w:ascii="Times New Roman"/>
                <w:sz w:val="24"/>
              </w:rPr>
            </w:pPr>
          </w:p>
        </w:tc>
        <w:tc>
          <w:tcPr>
            <w:tcW w:w="4790" w:type="dxa"/>
            <w:tcBorders>
              <w:top w:val="nil"/>
            </w:tcBorders>
          </w:tcPr>
          <w:p>
            <w:pPr>
              <w:pStyle w:val="6"/>
              <w:spacing w:before="21"/>
              <w:ind w:left="106"/>
              <w:rPr>
                <w:sz w:val="24"/>
              </w:rPr>
            </w:pPr>
            <w:r>
              <w:rPr>
                <w:sz w:val="24"/>
              </w:rPr>
              <w:t>有操作简便和综合运行成本优势。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2125" w:type="dxa"/>
            <w:vMerge w:val="continue"/>
            <w:tcBorders>
              <w:top w:val="nil"/>
            </w:tcBorders>
          </w:tcPr>
          <w:p>
            <w:pPr>
              <w:rPr>
                <w:sz w:val="2"/>
                <w:szCs w:val="2"/>
              </w:rPr>
            </w:pPr>
          </w:p>
        </w:tc>
        <w:tc>
          <w:tcPr>
            <w:tcW w:w="1844" w:type="dxa"/>
            <w:tcBorders>
              <w:bottom w:val="nil"/>
            </w:tcBorders>
          </w:tcPr>
          <w:p>
            <w:pPr>
              <w:pStyle w:val="6"/>
              <w:rPr>
                <w:rFonts w:ascii="Times New Roman"/>
                <w:sz w:val="24"/>
              </w:rPr>
            </w:pPr>
          </w:p>
        </w:tc>
        <w:tc>
          <w:tcPr>
            <w:tcW w:w="4790" w:type="dxa"/>
            <w:tcBorders>
              <w:bottom w:val="nil"/>
            </w:tcBorders>
          </w:tcPr>
          <w:p>
            <w:pPr>
              <w:pStyle w:val="6"/>
              <w:rPr>
                <w:rFonts w:ascii="Times New Roman"/>
                <w:sz w:val="24"/>
              </w:rPr>
            </w:pPr>
          </w:p>
          <w:p>
            <w:pPr>
              <w:pStyle w:val="6"/>
              <w:rPr>
                <w:rFonts w:ascii="Times New Roman"/>
                <w:sz w:val="24"/>
              </w:rPr>
            </w:pPr>
          </w:p>
          <w:p>
            <w:pPr>
              <w:pStyle w:val="6"/>
              <w:rPr>
                <w:rFonts w:ascii="Times New Roman"/>
                <w:sz w:val="24"/>
              </w:rPr>
            </w:pPr>
          </w:p>
          <w:p>
            <w:pPr>
              <w:pStyle w:val="6"/>
              <w:spacing w:before="7"/>
              <w:rPr>
                <w:rFonts w:ascii="Times New Roman"/>
                <w:sz w:val="24"/>
              </w:rPr>
            </w:pPr>
          </w:p>
          <w:p>
            <w:pPr>
              <w:pStyle w:val="6"/>
              <w:ind w:left="106"/>
              <w:rPr>
                <w:sz w:val="24"/>
              </w:rPr>
            </w:pPr>
            <w:r>
              <w:rPr>
                <w:sz w:val="24"/>
              </w:rPr>
              <w:t>1.微生物发酵项目细胞毒性物质流加的小体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125" w:type="dxa"/>
            <w:vMerge w:val="continue"/>
            <w:tcBorders>
              <w:top w:val="nil"/>
            </w:tcBorders>
          </w:tcPr>
          <w:p>
            <w:pPr>
              <w:rPr>
                <w:sz w:val="2"/>
                <w:szCs w:val="2"/>
              </w:rPr>
            </w:pPr>
          </w:p>
        </w:tc>
        <w:tc>
          <w:tcPr>
            <w:tcW w:w="1844" w:type="dxa"/>
            <w:tcBorders>
              <w:top w:val="nil"/>
              <w:bottom w:val="nil"/>
            </w:tcBorders>
          </w:tcPr>
          <w:p>
            <w:pPr>
              <w:pStyle w:val="6"/>
              <w:rPr>
                <w:rFonts w:ascii="Times New Roman"/>
                <w:sz w:val="24"/>
              </w:rPr>
            </w:pPr>
          </w:p>
        </w:tc>
        <w:tc>
          <w:tcPr>
            <w:tcW w:w="4790" w:type="dxa"/>
            <w:tcBorders>
              <w:top w:val="nil"/>
              <w:bottom w:val="nil"/>
            </w:tcBorders>
          </w:tcPr>
          <w:p>
            <w:pPr>
              <w:pStyle w:val="6"/>
              <w:spacing w:before="21"/>
              <w:ind w:left="106"/>
              <w:rPr>
                <w:sz w:val="24"/>
              </w:rPr>
            </w:pPr>
            <w:r>
              <w:rPr>
                <w:sz w:val="24"/>
              </w:rPr>
              <w:t>积培养高通量筛选和发酵工艺优化通用技术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trPr>
        <w:tc>
          <w:tcPr>
            <w:tcW w:w="2125" w:type="dxa"/>
            <w:vMerge w:val="continue"/>
            <w:tcBorders>
              <w:top w:val="nil"/>
            </w:tcBorders>
          </w:tcPr>
          <w:p>
            <w:pPr>
              <w:rPr>
                <w:sz w:val="2"/>
                <w:szCs w:val="2"/>
              </w:rPr>
            </w:pPr>
          </w:p>
        </w:tc>
        <w:tc>
          <w:tcPr>
            <w:tcW w:w="1844" w:type="dxa"/>
            <w:tcBorders>
              <w:top w:val="nil"/>
              <w:bottom w:val="nil"/>
            </w:tcBorders>
          </w:tcPr>
          <w:p>
            <w:pPr>
              <w:pStyle w:val="6"/>
              <w:spacing w:before="45" w:line="242" w:lineRule="auto"/>
              <w:ind w:left="320" w:right="311"/>
              <w:jc w:val="center"/>
              <w:rPr>
                <w:sz w:val="24"/>
              </w:rPr>
            </w:pPr>
            <w:r>
              <w:rPr>
                <w:sz w:val="24"/>
              </w:rPr>
              <w:t>需参赛团队提交的成果或材料</w:t>
            </w:r>
          </w:p>
        </w:tc>
        <w:tc>
          <w:tcPr>
            <w:tcW w:w="4790" w:type="dxa"/>
            <w:tcBorders>
              <w:top w:val="nil"/>
              <w:bottom w:val="nil"/>
            </w:tcBorders>
          </w:tcPr>
          <w:p>
            <w:pPr>
              <w:pStyle w:val="6"/>
              <w:spacing w:before="21"/>
              <w:ind w:left="106"/>
              <w:rPr>
                <w:sz w:val="24"/>
              </w:rPr>
            </w:pPr>
            <w:r>
              <w:rPr>
                <w:sz w:val="24"/>
              </w:rPr>
              <w:t>方案；</w:t>
            </w:r>
          </w:p>
          <w:p>
            <w:pPr>
              <w:pStyle w:val="6"/>
              <w:spacing w:line="360" w:lineRule="atLeast"/>
              <w:ind w:left="106" w:right="102"/>
              <w:rPr>
                <w:sz w:val="24"/>
              </w:rPr>
            </w:pPr>
            <w:r>
              <w:rPr>
                <w:sz w:val="24"/>
              </w:rPr>
              <w:t>2.该通用技术的应用实例，如文章、专利或设备样机等；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125" w:type="dxa"/>
            <w:vMerge w:val="continue"/>
            <w:tcBorders>
              <w:top w:val="nil"/>
            </w:tcBorders>
          </w:tcPr>
          <w:p>
            <w:pPr>
              <w:rPr>
                <w:sz w:val="2"/>
                <w:szCs w:val="2"/>
              </w:rPr>
            </w:pPr>
          </w:p>
        </w:tc>
        <w:tc>
          <w:tcPr>
            <w:tcW w:w="1844" w:type="dxa"/>
            <w:tcBorders>
              <w:top w:val="nil"/>
              <w:bottom w:val="nil"/>
            </w:tcBorders>
          </w:tcPr>
          <w:p>
            <w:pPr>
              <w:pStyle w:val="6"/>
              <w:rPr>
                <w:rFonts w:ascii="Times New Roman"/>
                <w:sz w:val="24"/>
              </w:rPr>
            </w:pPr>
          </w:p>
        </w:tc>
        <w:tc>
          <w:tcPr>
            <w:tcW w:w="4790" w:type="dxa"/>
            <w:tcBorders>
              <w:top w:val="nil"/>
              <w:bottom w:val="nil"/>
            </w:tcBorders>
          </w:tcPr>
          <w:p>
            <w:pPr>
              <w:pStyle w:val="6"/>
              <w:spacing w:before="21"/>
              <w:ind w:left="106"/>
              <w:rPr>
                <w:sz w:val="24"/>
              </w:rPr>
            </w:pPr>
            <w:r>
              <w:rPr>
                <w:sz w:val="24"/>
              </w:rPr>
              <w:t>3.应用该通用技术的操作简便性和运行成本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6" w:hRule="atLeast"/>
        </w:trPr>
        <w:tc>
          <w:tcPr>
            <w:tcW w:w="2125" w:type="dxa"/>
            <w:vMerge w:val="continue"/>
            <w:tcBorders>
              <w:top w:val="nil"/>
            </w:tcBorders>
          </w:tcPr>
          <w:p>
            <w:pPr>
              <w:rPr>
                <w:sz w:val="2"/>
                <w:szCs w:val="2"/>
              </w:rPr>
            </w:pPr>
          </w:p>
        </w:tc>
        <w:tc>
          <w:tcPr>
            <w:tcW w:w="1844" w:type="dxa"/>
            <w:tcBorders>
              <w:top w:val="nil"/>
            </w:tcBorders>
          </w:tcPr>
          <w:p>
            <w:pPr>
              <w:pStyle w:val="6"/>
              <w:rPr>
                <w:rFonts w:ascii="Times New Roman"/>
                <w:sz w:val="24"/>
              </w:rPr>
            </w:pPr>
          </w:p>
        </w:tc>
        <w:tc>
          <w:tcPr>
            <w:tcW w:w="4790" w:type="dxa"/>
            <w:tcBorders>
              <w:top w:val="nil"/>
            </w:tcBorders>
          </w:tcPr>
          <w:p>
            <w:pPr>
              <w:pStyle w:val="6"/>
              <w:spacing w:before="21"/>
              <w:ind w:left="106"/>
              <w:rPr>
                <w:sz w:val="24"/>
              </w:rPr>
            </w:pPr>
            <w:r>
              <w:rPr>
                <w:sz w:val="24"/>
              </w:rPr>
              <w:t>的评估。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5" w:hRule="atLeast"/>
        </w:trPr>
        <w:tc>
          <w:tcPr>
            <w:tcW w:w="2125" w:type="dxa"/>
          </w:tcPr>
          <w:p>
            <w:pPr>
              <w:pStyle w:val="6"/>
              <w:rPr>
                <w:rFonts w:ascii="Times New Roman"/>
                <w:sz w:val="24"/>
              </w:rPr>
            </w:pPr>
          </w:p>
          <w:p>
            <w:pPr>
              <w:pStyle w:val="6"/>
              <w:spacing w:before="187"/>
              <w:ind w:left="580"/>
              <w:rPr>
                <w:sz w:val="24"/>
              </w:rPr>
            </w:pPr>
            <w:r>
              <w:rPr>
                <w:sz w:val="24"/>
              </w:rPr>
              <w:t>其他说明</w:t>
            </w:r>
          </w:p>
        </w:tc>
        <w:tc>
          <w:tcPr>
            <w:tcW w:w="1844" w:type="dxa"/>
          </w:tcPr>
          <w:p>
            <w:pPr>
              <w:pStyle w:val="6"/>
              <w:spacing w:before="8"/>
              <w:rPr>
                <w:rFonts w:ascii="Times New Roman"/>
                <w:sz w:val="26"/>
              </w:rPr>
            </w:pPr>
          </w:p>
          <w:p>
            <w:pPr>
              <w:pStyle w:val="6"/>
              <w:spacing w:line="242" w:lineRule="auto"/>
              <w:ind w:left="320" w:right="32" w:hanging="214"/>
              <w:rPr>
                <w:sz w:val="24"/>
              </w:rPr>
            </w:pPr>
            <w:r>
              <w:rPr>
                <w:sz w:val="24"/>
              </w:rPr>
              <w:t>知识产权、专利等事项说明</w:t>
            </w:r>
          </w:p>
        </w:tc>
        <w:tc>
          <w:tcPr>
            <w:tcW w:w="4790" w:type="dxa"/>
          </w:tcPr>
          <w:p>
            <w:pPr>
              <w:pStyle w:val="6"/>
              <w:rPr>
                <w:rFonts w:ascii="Times New Roman"/>
                <w:sz w:val="24"/>
              </w:rPr>
            </w:pPr>
          </w:p>
          <w:p>
            <w:pPr>
              <w:pStyle w:val="6"/>
              <w:spacing w:before="211"/>
              <w:ind w:left="106"/>
              <w:rPr>
                <w:sz w:val="24"/>
              </w:rPr>
            </w:pPr>
            <w:r>
              <w:rPr>
                <w:sz w:val="24"/>
              </w:rPr>
              <w:t>命题企业具有相关技术的优先转让权</w:t>
            </w:r>
          </w:p>
        </w:tc>
      </w:tr>
    </w:tbl>
    <w:p>
      <w:pPr>
        <w:spacing w:after="0"/>
        <w:rPr>
          <w:sz w:val="24"/>
        </w:rPr>
        <w:sectPr>
          <w:pgSz w:w="11910" w:h="16840"/>
          <w:pgMar w:top="1580" w:right="1160" w:bottom="1760" w:left="1180" w:header="0" w:footer="1644" w:gutter="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multilevel"/>
    <w:tmpl w:val="BF205925"/>
    <w:lvl w:ilvl="0" w:tentative="0">
      <w:start w:val="1"/>
      <w:numFmt w:val="decimal"/>
      <w:lvlText w:val="%1."/>
      <w:lvlJc w:val="left"/>
      <w:pPr>
        <w:ind w:left="349"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971" w:hanging="241"/>
      </w:pPr>
      <w:rPr>
        <w:rFonts w:hint="default"/>
        <w:lang w:val="zh-CN" w:eastAsia="zh-CN" w:bidi="zh-CN"/>
      </w:rPr>
    </w:lvl>
    <w:lvl w:ilvl="2" w:tentative="0">
      <w:start w:val="0"/>
      <w:numFmt w:val="bullet"/>
      <w:lvlText w:val="•"/>
      <w:lvlJc w:val="left"/>
      <w:pPr>
        <w:ind w:left="1602" w:hanging="241"/>
      </w:pPr>
      <w:rPr>
        <w:rFonts w:hint="default"/>
        <w:lang w:val="zh-CN" w:eastAsia="zh-CN" w:bidi="zh-CN"/>
      </w:rPr>
    </w:lvl>
    <w:lvl w:ilvl="3" w:tentative="0">
      <w:start w:val="0"/>
      <w:numFmt w:val="bullet"/>
      <w:lvlText w:val="•"/>
      <w:lvlJc w:val="left"/>
      <w:pPr>
        <w:ind w:left="2233" w:hanging="241"/>
      </w:pPr>
      <w:rPr>
        <w:rFonts w:hint="default"/>
        <w:lang w:val="zh-CN" w:eastAsia="zh-CN" w:bidi="zh-CN"/>
      </w:rPr>
    </w:lvl>
    <w:lvl w:ilvl="4" w:tentative="0">
      <w:start w:val="0"/>
      <w:numFmt w:val="bullet"/>
      <w:lvlText w:val="•"/>
      <w:lvlJc w:val="left"/>
      <w:pPr>
        <w:ind w:left="2864" w:hanging="241"/>
      </w:pPr>
      <w:rPr>
        <w:rFonts w:hint="default"/>
        <w:lang w:val="zh-CN" w:eastAsia="zh-CN" w:bidi="zh-CN"/>
      </w:rPr>
    </w:lvl>
    <w:lvl w:ilvl="5" w:tentative="0">
      <w:start w:val="0"/>
      <w:numFmt w:val="bullet"/>
      <w:lvlText w:val="•"/>
      <w:lvlJc w:val="left"/>
      <w:pPr>
        <w:ind w:left="3495" w:hanging="241"/>
      </w:pPr>
      <w:rPr>
        <w:rFonts w:hint="default"/>
        <w:lang w:val="zh-CN" w:eastAsia="zh-CN" w:bidi="zh-CN"/>
      </w:rPr>
    </w:lvl>
    <w:lvl w:ilvl="6" w:tentative="0">
      <w:start w:val="0"/>
      <w:numFmt w:val="bullet"/>
      <w:lvlText w:val="•"/>
      <w:lvlJc w:val="left"/>
      <w:pPr>
        <w:ind w:left="4126" w:hanging="241"/>
      </w:pPr>
      <w:rPr>
        <w:rFonts w:hint="default"/>
        <w:lang w:val="zh-CN" w:eastAsia="zh-CN" w:bidi="zh-CN"/>
      </w:rPr>
    </w:lvl>
    <w:lvl w:ilvl="7" w:tentative="0">
      <w:start w:val="0"/>
      <w:numFmt w:val="bullet"/>
      <w:lvlText w:val="•"/>
      <w:lvlJc w:val="left"/>
      <w:pPr>
        <w:ind w:left="4757" w:hanging="241"/>
      </w:pPr>
      <w:rPr>
        <w:rFonts w:hint="default"/>
        <w:lang w:val="zh-CN" w:eastAsia="zh-CN" w:bidi="zh-CN"/>
      </w:rPr>
    </w:lvl>
    <w:lvl w:ilvl="8" w:tentative="0">
      <w:start w:val="0"/>
      <w:numFmt w:val="bullet"/>
      <w:lvlText w:val="•"/>
      <w:lvlJc w:val="left"/>
      <w:pPr>
        <w:ind w:left="5388" w:hanging="241"/>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473B0"/>
    <w:rsid w:val="08D33949"/>
    <w:rsid w:val="1861422A"/>
    <w:rsid w:val="34BE7595"/>
    <w:rsid w:val="49147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outlineLvl w:val="1"/>
    </w:pPr>
    <w:rPr>
      <w:rFonts w:ascii="方正小标宋简体" w:hAnsi="方正小标宋简体" w:eastAsia="方正小标宋简体" w:cs="方正小标宋简体"/>
      <w:sz w:val="44"/>
      <w:szCs w:val="44"/>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eastAsia="zh-CN" w:bidi="zh-CN"/>
    </w:rPr>
  </w:style>
  <w:style w:type="paragraph" w:customStyle="1" w:styleId="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2020-10-30T08:26:00Z</dcterms:created>
  <dc:creator>:)</dc:creator>
  <cp:lastModifiedBy>:)</cp:lastModifiedBy>
  <dcterms:modified xsi:type="dcterms:W3CDTF">2020-10-30T08:26:57Z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